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墨脱县寺庙管理委员会2024年度部门决算</w:t>
      </w:r>
    </w:p>
    <w:p>
      <w:pPr>
        <w:spacing w:line="578"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公开报告</w:t>
      </w:r>
    </w:p>
    <w:p>
      <w:pPr>
        <w:spacing w:line="578" w:lineRule="exact"/>
        <w:jc w:val="center"/>
        <w:rPr>
          <w:rFonts w:ascii="黑体" w:hAnsi="ˎ̥" w:eastAsia="黑体"/>
          <w:b/>
          <w:sz w:val="32"/>
          <w:szCs w:val="32"/>
        </w:rPr>
      </w:pPr>
    </w:p>
    <w:p>
      <w:pPr>
        <w:spacing w:line="578" w:lineRule="exact"/>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6"/>
        <w:tabs>
          <w:tab w:val="right" w:leader="dot" w:pos="8306"/>
        </w:tabs>
        <w:spacing w:line="578" w:lineRule="exact"/>
        <w:rPr>
          <w:sz w:val="32"/>
          <w:szCs w:val="32"/>
        </w:rPr>
      </w:pPr>
      <w:r>
        <w:fldChar w:fldCharType="begin"/>
      </w:r>
      <w:r>
        <w:instrText xml:space="preserve"> HYPERLINK \l "_Toc1704_WPSOffice_Level1" </w:instrText>
      </w:r>
      <w: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7"/>
        <w:tabs>
          <w:tab w:val="right" w:leader="dot" w:pos="8306"/>
        </w:tabs>
        <w:spacing w:line="578" w:lineRule="exact"/>
        <w:ind w:leftChars="0"/>
        <w:rPr>
          <w:rFonts w:ascii="仿宋" w:hAnsi="仿宋" w:eastAsia="仿宋" w:cs="仿宋"/>
          <w:sz w:val="32"/>
          <w:szCs w:val="32"/>
        </w:rPr>
      </w:pPr>
      <w:r>
        <w:fldChar w:fldCharType="begin"/>
      </w:r>
      <w:r>
        <w:instrText xml:space="preserve"> HYPERLINK \l "_Toc20274_WPSOffice_Level2" </w:instrText>
      </w:r>
      <w: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7"/>
        <w:tabs>
          <w:tab w:val="right" w:leader="dot" w:pos="8306"/>
        </w:tabs>
        <w:spacing w:line="578" w:lineRule="exact"/>
        <w:ind w:leftChars="0"/>
        <w:rPr>
          <w:rFonts w:ascii="仿宋" w:hAnsi="仿宋" w:eastAsia="仿宋" w:cs="仿宋"/>
          <w:sz w:val="32"/>
          <w:szCs w:val="32"/>
        </w:rPr>
      </w:pPr>
      <w:r>
        <w:fldChar w:fldCharType="begin"/>
      </w:r>
      <w:r>
        <w:instrText xml:space="preserve"> HYPERLINK \l "_Toc4833_WPSOffice_Level2" </w:instrText>
      </w:r>
      <w: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rPr>
          <w:sz w:val="32"/>
          <w:szCs w:val="32"/>
        </w:rPr>
      </w:pPr>
      <w:r>
        <w:fldChar w:fldCharType="begin"/>
      </w:r>
      <w:r>
        <w:instrText xml:space="preserve"> HYPERLINK \l "_Toc28253_WPSOffice_Level1" </w:instrText>
      </w:r>
      <w:r>
        <w:fldChar w:fldCharType="separate"/>
      </w:r>
      <w:r>
        <w:rPr>
          <w:rFonts w:hint="eastAsia" w:ascii="黑体" w:hAnsi="ˎ̥" w:eastAsia="黑体"/>
          <w:sz w:val="32"/>
          <w:szCs w:val="32"/>
        </w:rPr>
        <w:t xml:space="preserve">第二部分  </w:t>
      </w:r>
      <w:r>
        <w:rPr>
          <w:rFonts w:ascii="黑体" w:hAnsi="ˎ̥" w:eastAsia="黑体"/>
          <w:sz w:val="32"/>
          <w:szCs w:val="32"/>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 xml:space="preserve">2 </w:t>
      </w:r>
    </w:p>
    <w:p>
      <w:pPr>
        <w:pStyle w:val="16"/>
        <w:tabs>
          <w:tab w:val="right" w:leader="dot" w:pos="8306"/>
        </w:tabs>
        <w:spacing w:line="578" w:lineRule="exact"/>
        <w:rPr>
          <w:sz w:val="32"/>
          <w:szCs w:val="32"/>
        </w:rPr>
      </w:pPr>
      <w:r>
        <w:fldChar w:fldCharType="begin"/>
      </w:r>
      <w:r>
        <w:instrText xml:space="preserve"> HYPERLINK \l "_Toc27590_WPSOffice_Level1" </w:instrText>
      </w:r>
      <w:r>
        <w:fldChar w:fldCharType="separate"/>
      </w:r>
      <w:r>
        <w:rPr>
          <w:rFonts w:hint="eastAsia" w:ascii="黑体" w:hAnsi="黑体" w:eastAsia="黑体" w:cs="黑体"/>
          <w:sz w:val="32"/>
          <w:szCs w:val="32"/>
        </w:rPr>
        <w:t>第三部分</w:t>
      </w:r>
      <w:r>
        <w:rPr>
          <w:rFonts w:hint="eastAsia"/>
          <w:sz w:val="32"/>
          <w:szCs w:val="32"/>
        </w:rPr>
        <w:t xml:space="preserve">  </w:t>
      </w:r>
      <w:r>
        <w:rPr>
          <w:rFonts w:ascii="黑体" w:hAnsi="ˎ̥" w:eastAsia="黑体"/>
          <w:sz w:val="32"/>
          <w:szCs w:val="32"/>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7"/>
        <w:tabs>
          <w:tab w:val="right" w:leader="dot" w:pos="8306"/>
        </w:tabs>
        <w:spacing w:line="578" w:lineRule="exact"/>
        <w:ind w:leftChars="0"/>
        <w:rPr>
          <w:rFonts w:ascii="仿宋" w:hAnsi="仿宋" w:eastAsia="仿宋" w:cs="仿宋"/>
          <w:sz w:val="32"/>
          <w:szCs w:val="32"/>
        </w:rPr>
      </w:pPr>
      <w:r>
        <w:fldChar w:fldCharType="begin"/>
      </w:r>
      <w:r>
        <w:instrText xml:space="preserve"> HYPERLINK \l "_Toc21737_WPSOffice_Level2" </w:instrText>
      </w:r>
      <w: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7"/>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7"/>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7"/>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bCs/>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7"/>
        <w:numPr>
          <w:ilvl w:val="0"/>
          <w:numId w:val="1"/>
        </w:numPr>
        <w:tabs>
          <w:tab w:val="right" w:leader="dot" w:pos="8306"/>
        </w:tabs>
        <w:spacing w:line="578" w:lineRule="exact"/>
        <w:ind w:leftChars="0"/>
        <w:rPr>
          <w:rFonts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7"/>
        <w:numPr>
          <w:ilvl w:val="0"/>
          <w:numId w:val="1"/>
        </w:numPr>
        <w:tabs>
          <w:tab w:val="right" w:leader="dot" w:pos="8306"/>
        </w:tabs>
        <w:spacing w:line="578" w:lineRule="exact"/>
        <w:ind w:leftChars="0"/>
        <w:rPr>
          <w:rFonts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7"/>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7"/>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7"/>
        <w:tabs>
          <w:tab w:val="right" w:leader="dot" w:pos="8306"/>
        </w:tabs>
        <w:spacing w:line="578" w:lineRule="exact"/>
        <w:ind w:leftChars="0"/>
        <w:rPr>
          <w:rFonts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6"/>
        <w:tabs>
          <w:tab w:val="right" w:leader="dot" w:pos="8306"/>
        </w:tabs>
        <w:spacing w:line="578" w:lineRule="exact"/>
        <w:rPr>
          <w:rFonts w:ascii="黑体" w:hAnsi="ˎ̥"/>
          <w:b/>
          <w:sz w:val="32"/>
          <w:szCs w:val="32"/>
        </w:rPr>
      </w:pPr>
      <w:r>
        <w:fldChar w:fldCharType="begin"/>
      </w:r>
      <w:r>
        <w:instrText xml:space="preserve"> HYPERLINK \l "_Toc15425_WPSOffice_Level1" </w:instrText>
      </w:r>
      <w: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rPr>
          <w:rFonts w:ascii="黑体" w:hAnsi="ˎ̥" w:eastAsia="黑体"/>
          <w:sz w:val="32"/>
          <w:szCs w:val="32"/>
        </w:rPr>
      </w:pPr>
      <w:bookmarkStart w:id="2" w:name="_Toc10720_WPSOffice_Level1"/>
      <w:bookmarkStart w:id="3" w:name="_Toc1704_WPSOffice_Level1"/>
      <w:bookmarkStart w:id="4" w:name="_Toc22941_WPSOffice_Level1"/>
      <w:bookmarkStart w:id="5" w:name="_Toc32433_WPSOffice_Level1"/>
      <w:bookmarkStart w:id="6" w:name="_Toc23465_WPSOffice_Level1"/>
      <w:bookmarkStart w:id="7" w:name="_Toc10049_WPSOffice_Level1"/>
      <w:bookmarkStart w:id="8" w:name="_Toc24238_WPSOffice_Level2"/>
      <w:bookmarkStart w:id="9" w:name="_Toc32622_WPSOffice_Level2"/>
      <w:bookmarkStart w:id="10" w:name="_Toc14159_WPSOffice_Level2"/>
      <w:bookmarkStart w:id="11" w:name="_Toc26580_WPSOffice_Level2"/>
      <w:bookmarkStart w:id="12" w:name="_Toc20205_WPSOffice_Level2"/>
      <w:bookmarkStart w:id="13" w:name="_Toc20274_WPSOffice_Level2"/>
    </w:p>
    <w:p>
      <w:pPr>
        <w:spacing w:line="578" w:lineRule="exact"/>
        <w:jc w:val="center"/>
        <w:rPr>
          <w:rFonts w:ascii="黑体" w:hAnsi="ˎ̥" w:eastAsia="黑体"/>
          <w:sz w:val="32"/>
          <w:szCs w:val="32"/>
        </w:rPr>
      </w:pPr>
    </w:p>
    <w:p>
      <w:pPr>
        <w:spacing w:line="578" w:lineRule="exact"/>
        <w:jc w:val="center"/>
        <w:rPr>
          <w:rFonts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ascii="楷体" w:hAnsi="楷体" w:eastAsia="楷体" w:cs="楷体"/>
          <w:sz w:val="32"/>
          <w:szCs w:val="32"/>
        </w:rPr>
      </w:pP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一、部门</w:t>
      </w:r>
      <w:bookmarkEnd w:id="8"/>
      <w:r>
        <w:rPr>
          <w:rFonts w:hint="eastAsia" w:ascii="黑体" w:hAnsi="黑体" w:eastAsia="黑体" w:cs="黑体"/>
          <w:sz w:val="32"/>
          <w:szCs w:val="32"/>
        </w:rPr>
        <w:t>（单位）职责</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寺管会即寺庙管理委员会，是在藏传佛教寺庙设立的管理组织。它在当地党委、政府领导和统战、宗教部门指导下开展工作。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一、宗教事务管理：负责寺庙日常宗教活动的组织与管理，如佛事活动的安排、宗教仪式的规范等；指导僧人学经修行，监督寺庙宗教教育，确保宗教传承与发展；维护寺庙宗教场所的神圣性和宗教秩序，保护宗教文物和宗教典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二、寺庙行政管理：制定并执行寺庙规章制度，加强内部管理；负责寺庙建筑及设施的维护与管理，做好规划、修缮和保护；管理寺庙财务，制定预算，监督收支，确保资金合理使用。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三、僧人教育与服务：组织僧人学习国家法律法规、方针政策和文化知识，提高其综合素质；关心僧人生活，解决实际困难，提供必要服务和保障。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四、对外交流与宣传：开展对外友好交流活动，介绍寺庙文化和宗教特色；宣传国家宗教政策和寺庙发展情况，增进社会对寺庙的了解。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五、维护稳定与安全：加强寺庙安全管理，制定应急预案，做好防火、防盗等工作；维护寺庙及周边社会稳定，化解矛盾纠纷，促进民族团结。</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bookmarkStart w:id="14" w:name="_Toc17796_WPSOffice_Level2"/>
      <w:bookmarkStart w:id="15" w:name="_Toc24059_WPSOffice_Level2"/>
      <w:bookmarkStart w:id="16" w:name="_Toc4833_WPSOffice_Level2"/>
      <w:bookmarkStart w:id="17" w:name="_Toc6572_WPSOffice_Level2"/>
      <w:bookmarkStart w:id="18" w:name="_Toc24474_WPSOffice_Level2"/>
      <w:r>
        <w:rPr>
          <w:rFonts w:hint="eastAsia" w:ascii="黑体" w:hAnsi="黑体" w:eastAsia="黑体" w:cs="黑体"/>
          <w:sz w:val="32"/>
          <w:szCs w:val="32"/>
        </w:rPr>
        <w:t>二、机构设置</w:t>
      </w:r>
      <w:bookmarkEnd w:id="14"/>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rPr>
        <w:t>墨脱县寺管会核定编制为16名，其中，核定行政编制数11名，参公事业编制数5名；核定科级职数5名。实有人数14名，行政干部14名，事业干部0名。</w:t>
      </w:r>
    </w:p>
    <w:p>
      <w:pPr>
        <w:spacing w:line="578" w:lineRule="exact"/>
        <w:ind w:firstLine="640" w:firstLineChars="200"/>
        <w:rPr>
          <w:rFonts w:ascii="黑体" w:hAnsi="黑体" w:eastAsia="黑体" w:cs="黑体"/>
          <w:sz w:val="32"/>
          <w:szCs w:val="32"/>
        </w:rPr>
      </w:pPr>
    </w:p>
    <w:p>
      <w:pPr>
        <w:spacing w:line="578" w:lineRule="exact"/>
        <w:jc w:val="both"/>
        <w:rPr>
          <w:rFonts w:ascii="黑体" w:hAnsi="ˎ̥" w:eastAsia="黑体"/>
          <w:sz w:val="32"/>
          <w:szCs w:val="32"/>
        </w:rPr>
      </w:pPr>
      <w:bookmarkStart w:id="19" w:name="_Toc8164_WPSOffice_Level1"/>
      <w:bookmarkStart w:id="20" w:name="_Toc6234_WPSOffice_Level1"/>
      <w:bookmarkStart w:id="21" w:name="_Toc30690_WPSOffice_Level1"/>
      <w:bookmarkStart w:id="22" w:name="_Toc30451_WPSOffice_Level1"/>
      <w:bookmarkStart w:id="23" w:name="_Toc15521_WPSOffice_Level1"/>
      <w:bookmarkStart w:id="24" w:name="_Toc28253_WPSOffice_Level1"/>
      <w:bookmarkStart w:id="25" w:name="_Toc32695_WPSOffice_Level2"/>
      <w:bookmarkStart w:id="26" w:name="_Toc6211_WPSOffice_Level2"/>
      <w:bookmarkStart w:id="27" w:name="_Toc32472_WPSOffice_Level2"/>
      <w:bookmarkStart w:id="28" w:name="_Toc4029_WPSOffice_Level2"/>
      <w:bookmarkStart w:id="29" w:name="_Toc11518_WPSOffice_Level2"/>
      <w:bookmarkStart w:id="30" w:name="_Toc8867_WPSOffice_Level2"/>
    </w:p>
    <w:p>
      <w:pPr>
        <w:spacing w:line="578" w:lineRule="exact"/>
        <w:jc w:val="center"/>
        <w:rPr>
          <w:rFonts w:ascii="黑体" w:hAnsi="ˎ̥" w:eastAsia="黑体"/>
          <w:sz w:val="32"/>
          <w:szCs w:val="32"/>
        </w:rPr>
      </w:pPr>
      <w:r>
        <w:rPr>
          <w:rFonts w:hint="eastAsia" w:ascii="黑体" w:hAnsi="ˎ̥" w:eastAsia="黑体"/>
          <w:sz w:val="32"/>
          <w:szCs w:val="32"/>
        </w:rPr>
        <w:t xml:space="preserve">第二部分  </w:t>
      </w:r>
      <w:r>
        <w:rPr>
          <w:rFonts w:ascii="黑体" w:hAnsi="ˎ̥" w:eastAsia="黑体"/>
          <w:sz w:val="32"/>
          <w:szCs w:val="32"/>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ascii="黑体" w:hAnsi="黑体" w:eastAsia="黑体" w:cs="黑体"/>
          <w:sz w:val="32"/>
          <w:szCs w:val="32"/>
        </w:rPr>
      </w:pPr>
    </w:p>
    <w:p>
      <w:pPr>
        <w:spacing w:line="578" w:lineRule="exact"/>
        <w:ind w:firstLine="645"/>
        <w:rPr>
          <w:rFonts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ascii="黑体" w:hAnsi="黑体" w:eastAsia="黑体" w:cs="黑体"/>
          <w:sz w:val="32"/>
          <w:szCs w:val="32"/>
        </w:rPr>
      </w:pPr>
      <w:bookmarkStart w:id="31" w:name="_Toc14349_WPSOffice_Level2"/>
      <w:bookmarkStart w:id="32" w:name="_Toc25608_WPSOffice_Level2"/>
      <w:bookmarkStart w:id="33" w:name="_Toc28622_WPSOffice_Level2"/>
      <w:bookmarkStart w:id="34" w:name="_Toc23139_WPSOffice_Level2"/>
      <w:bookmarkStart w:id="35" w:name="_Toc30334_WPSOffice_Level2"/>
      <w:bookmarkStart w:id="36" w:name="_Toc26621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3262_WPSOffice_Level2"/>
      <w:bookmarkStart w:id="38" w:name="_Toc13854_WPSOffice_Level2"/>
      <w:bookmarkStart w:id="39" w:name="_Toc17858_WPSOffice_Level2"/>
      <w:bookmarkStart w:id="40" w:name="_Toc14658_WPSOffice_Level2"/>
      <w:bookmarkStart w:id="41" w:name="_Toc5489_WPSOffice_Level2"/>
      <w:bookmarkStart w:id="42" w:name="_Toc17626_WPSOffice_Level2"/>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4265_WPSOffice_Level2"/>
      <w:bookmarkStart w:id="44" w:name="_Toc7988_WPSOffice_Level2"/>
      <w:bookmarkStart w:id="45" w:name="_Toc13701_WPSOffice_Level2"/>
      <w:bookmarkStart w:id="46" w:name="_Toc21415_WPSOffice_Level2"/>
      <w:bookmarkStart w:id="47" w:name="_Toc23493_WPSOffice_Level2"/>
      <w:bookmarkStart w:id="48" w:name="_Toc23591_WPSOffice_Level2"/>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bookmarkStart w:id="49" w:name="_Toc23829_WPSOffice_Level2"/>
      <w:bookmarkStart w:id="50" w:name="_Toc7879_WPSOffice_Level2"/>
      <w:bookmarkStart w:id="51" w:name="_Toc25166_WPSOffice_Level2"/>
      <w:bookmarkStart w:id="52" w:name="_Toc22783_WPSOffice_Level2"/>
      <w:bookmarkStart w:id="53" w:name="_Toc13516_WPSOffice_Level2"/>
      <w:bookmarkStart w:id="54" w:name="_Toc2158_WPSOffice_Level2"/>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25362_WPSOffice_Level2"/>
      <w:bookmarkStart w:id="56" w:name="_Toc17833_WPSOffice_Level2"/>
      <w:bookmarkStart w:id="57" w:name="_Toc2632_WPSOffice_Level2"/>
      <w:bookmarkStart w:id="58" w:name="_Toc17283_WPSOffice_Level2"/>
      <w:bookmarkStart w:id="59" w:name="_Toc8373_WPSOffice_Level2"/>
      <w:bookmarkStart w:id="60" w:name="_Toc5343_WPSOffice_Level2"/>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bookmarkStart w:id="61" w:name="_Toc5594_WPSOffice_Level2"/>
      <w:bookmarkStart w:id="62" w:name="_Toc13345_WPSOffice_Level2"/>
      <w:bookmarkStart w:id="63" w:name="_Toc6020_WPSOffice_Level2"/>
      <w:bookmarkStart w:id="64" w:name="_Toc1533_WPSOffice_Level2"/>
      <w:bookmarkStart w:id="65" w:name="_Toc11799_WPSOffice_Level2"/>
      <w:bookmarkStart w:id="66" w:name="_Toc21310_WPSOffice_Level2"/>
    </w:p>
    <w:p>
      <w:pPr>
        <w:spacing w:line="578" w:lineRule="exact"/>
        <w:ind w:left="1118" w:leftChars="304" w:hanging="480" w:hangingChars="150"/>
        <w:rPr>
          <w:rFonts w:ascii="黑体" w:hAnsi="黑体" w:eastAsia="黑体" w:cs="黑体"/>
          <w:sz w:val="32"/>
          <w:szCs w:val="32"/>
        </w:rPr>
      </w:pPr>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ascii="黑体" w:hAnsi="黑体" w:eastAsia="黑体" w:cs="黑体"/>
          <w:sz w:val="32"/>
          <w:szCs w:val="32"/>
        </w:rPr>
      </w:pPr>
      <w:bookmarkStart w:id="67" w:name="_Toc19961_WPSOffice_Level2"/>
      <w:bookmarkStart w:id="68" w:name="_Toc9377_WPSOffice_Level2"/>
      <w:bookmarkStart w:id="69" w:name="_Toc29886_WPSOffice_Level2"/>
      <w:bookmarkStart w:id="70" w:name="_Toc1820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黑体" w:hAnsi="黑体" w:eastAsia="黑体"/>
          <w:color w:val="auto"/>
          <w:sz w:val="32"/>
          <w:szCs w:val="28"/>
        </w:rPr>
      </w:pPr>
      <w:r>
        <w:rPr>
          <w:rFonts w:hint="eastAsia" w:ascii="黑体" w:hAnsi="黑体" w:eastAsia="黑体"/>
          <w:color w:val="auto"/>
          <w:sz w:val="32"/>
          <w:szCs w:val="28"/>
        </w:rPr>
        <w:t>（表格详见附件）</w:t>
      </w:r>
    </w:p>
    <w:p>
      <w:pPr>
        <w:spacing w:line="578" w:lineRule="exact"/>
        <w:rPr>
          <w:rFonts w:ascii="黑体" w:hAnsi="黑体" w:eastAsia="黑体" w:cs="黑体"/>
          <w:sz w:val="32"/>
          <w:szCs w:val="32"/>
        </w:rPr>
      </w:pPr>
    </w:p>
    <w:p>
      <w:pPr>
        <w:spacing w:line="578" w:lineRule="exact"/>
        <w:rPr>
          <w:rFonts w:ascii="黑体" w:hAnsi="黑体" w:eastAsia="黑体" w:cs="黑体"/>
          <w:sz w:val="32"/>
          <w:szCs w:val="32"/>
        </w:rPr>
      </w:pPr>
    </w:p>
    <w:p>
      <w:pPr>
        <w:spacing w:line="578" w:lineRule="exact"/>
        <w:jc w:val="center"/>
        <w:rPr>
          <w:rFonts w:ascii="黑体" w:hAnsi="ˎ̥" w:eastAsia="黑体"/>
          <w:sz w:val="32"/>
          <w:szCs w:val="32"/>
        </w:rPr>
      </w:pPr>
      <w:bookmarkStart w:id="71" w:name="_Toc28629_WPSOffice_Level1"/>
      <w:bookmarkStart w:id="72" w:name="_Toc27590_WPSOffice_Level1"/>
      <w:bookmarkStart w:id="73" w:name="_Toc4402_WPSOffice_Level1"/>
      <w:bookmarkStart w:id="74" w:name="_Toc31264_WPSOffice_Level1"/>
      <w:bookmarkStart w:id="75" w:name="_Toc16686_WPSOffice_Level1"/>
      <w:bookmarkStart w:id="76" w:name="_Toc29683_WPSOffice_Level1"/>
      <w:r>
        <w:rPr>
          <w:rFonts w:hint="eastAsia" w:ascii="黑体" w:hAnsi="ˎ̥" w:eastAsia="黑体"/>
          <w:sz w:val="32"/>
          <w:szCs w:val="32"/>
        </w:rPr>
        <w:t xml:space="preserve">第三部分  </w:t>
      </w:r>
      <w:r>
        <w:rPr>
          <w:rFonts w:ascii="黑体" w:hAnsi="ˎ̥" w:eastAsia="黑体"/>
          <w:sz w:val="32"/>
          <w:szCs w:val="32"/>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ascii="黑体" w:hAnsi="ˎ̥" w:eastAsia="黑体"/>
          <w:sz w:val="32"/>
          <w:szCs w:val="32"/>
        </w:rPr>
      </w:pP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eastAsia" w:ascii="仿宋_GB2312" w:hAnsi="仿宋_GB2312" w:eastAsia="仿宋_GB2312" w:cs="仿宋_GB2312"/>
          <w:kern w:val="0"/>
          <w:sz w:val="32"/>
          <w:szCs w:val="32"/>
          <w:lang w:bidi="bo-CN"/>
        </w:rPr>
        <w:t xml:space="preserve">  2024年度收入总计485.03万元，支出总计485.03万元。</w:t>
      </w:r>
    </w:p>
    <w:p>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本年收入485.03万元，主要构成统战事务、社会保障和就业、卫生健康、住房保障。</w:t>
      </w:r>
    </w:p>
    <w:p>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本年</w:t>
      </w:r>
      <w:r>
        <w:rPr>
          <w:rFonts w:hint="eastAsia" w:ascii="仿宋_GB2312" w:hAnsi="仿宋_GB2312" w:eastAsia="仿宋_GB2312" w:cs="仿宋_GB2312"/>
          <w:kern w:val="0"/>
          <w:sz w:val="32"/>
          <w:szCs w:val="32"/>
          <w:lang w:eastAsia="zh-CN" w:bidi="bo-CN"/>
        </w:rPr>
        <w:t>支出</w:t>
      </w:r>
      <w:r>
        <w:rPr>
          <w:rFonts w:hint="eastAsia" w:ascii="仿宋_GB2312" w:hAnsi="仿宋_GB2312" w:eastAsia="仿宋_GB2312" w:cs="仿宋_GB2312"/>
          <w:kern w:val="0"/>
          <w:sz w:val="32"/>
          <w:szCs w:val="32"/>
          <w:lang w:bidi="bo-CN"/>
        </w:rPr>
        <w:t>485.03万元，主要构成统战事务、社会保障和就业、卫生健康、住房保障。</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仿宋_GB2312" w:eastAsia="仿宋_GB2312" w:cs="仿宋_GB2312"/>
          <w:kern w:val="0"/>
          <w:sz w:val="32"/>
          <w:szCs w:val="32"/>
          <w:lang w:bidi="bo-CN"/>
        </w:rPr>
        <w:t xml:space="preserve">    本年收入485.03万元，其中：财政拨款收入485.03万元，占100%。</w:t>
      </w:r>
    </w:p>
    <w:p>
      <w:pPr>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本年支出485.03万元，其中：基本支出479.25万元，占99%；项目支出5.78万元，占1%。</w:t>
      </w:r>
    </w:p>
    <w:p>
      <w:pPr>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2024年度财政拨款收入485.03万元，支出485.03万元。</w:t>
      </w:r>
    </w:p>
    <w:p>
      <w:pPr>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spacing w:line="578" w:lineRule="exact"/>
        <w:ind w:firstLine="640" w:firstLineChars="200"/>
        <w:rPr>
          <w:rFonts w:ascii="楷体" w:hAnsi="楷体" w:eastAsia="楷体" w:cs="楷体"/>
          <w:sz w:val="32"/>
          <w:szCs w:val="32"/>
        </w:rPr>
      </w:pPr>
      <w:bookmarkStart w:id="77" w:name="_Toc19665_WPSOffice_Level2"/>
      <w:bookmarkStart w:id="78" w:name="_Toc17398_WPSOffice_Level2"/>
      <w:bookmarkStart w:id="79" w:name="_Toc23005_WPSOffice_Level2"/>
      <w:bookmarkStart w:id="80" w:name="_Toc21737_WPSOffice_Level2"/>
      <w:bookmarkStart w:id="81" w:name="_Toc13694_WPSOffice_Level2"/>
      <w:bookmarkStart w:id="82" w:name="_Toc9989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2024年度一般公共预算财政拨款支出485.03万元，占本年支出合计的100%。</w:t>
      </w:r>
    </w:p>
    <w:p>
      <w:pPr>
        <w:spacing w:line="578" w:lineRule="exact"/>
        <w:ind w:firstLine="640" w:firstLineChars="200"/>
        <w:rPr>
          <w:rFonts w:ascii="楷体" w:hAnsi="楷体" w:eastAsia="楷体" w:cs="楷体"/>
          <w:sz w:val="32"/>
          <w:szCs w:val="32"/>
        </w:rPr>
      </w:pPr>
      <w:bookmarkStart w:id="83" w:name="_Toc18793_WPSOffice_Level2"/>
      <w:bookmarkStart w:id="84" w:name="_Toc23864_WPSOffice_Level2"/>
      <w:bookmarkStart w:id="85" w:name="_Toc19075_WPSOffice_Level2"/>
      <w:bookmarkStart w:id="86" w:name="_Toc27767_WPSOffice_Level2"/>
      <w:bookmarkStart w:id="87" w:name="_Toc19535_WPSOffice_Level2"/>
      <w:bookmarkStart w:id="88" w:name="_Toc2711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2024年度一般公共预算财政拨款支出485.03万元，主要用于以下方面：一般公共服务（类）支出349.36万元，占74%；社会保障和就业（类）支出51.36万元，占13%；住房保障（类）支出53.16万元，占13%。</w:t>
      </w:r>
    </w:p>
    <w:p>
      <w:pPr>
        <w:spacing w:line="578" w:lineRule="exact"/>
        <w:ind w:firstLine="640" w:firstLineChars="200"/>
        <w:rPr>
          <w:rFonts w:ascii="楷体" w:hAnsi="楷体" w:eastAsia="楷体" w:cs="楷体"/>
          <w:sz w:val="32"/>
          <w:szCs w:val="32"/>
        </w:rPr>
      </w:pPr>
      <w:bookmarkStart w:id="89" w:name="_Toc9502_WPSOffice_Level2"/>
      <w:bookmarkStart w:id="90" w:name="_Toc21701_WPSOffice_Level2"/>
      <w:bookmarkStart w:id="91" w:name="_Toc25136_WPSOffice_Level2"/>
      <w:bookmarkStart w:id="92" w:name="_Toc29364_WPSOffice_Level2"/>
      <w:bookmarkStart w:id="93" w:name="_Toc22318_WPSOffice_Level2"/>
      <w:bookmarkStart w:id="94" w:name="_Toc15415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2024年度一般公共预算财政拨款支出年初预算为530.08万元，支出决算为485.03万元，完成年初预算的85%。</w:t>
      </w:r>
    </w:p>
    <w:p>
      <w:pPr>
        <w:spacing w:line="578" w:lineRule="exact"/>
        <w:ind w:firstLine="627" w:firstLineChars="196"/>
        <w:rPr>
          <w:rFonts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2024年度财政拨款基本支出479.25万元，其中：人员经费430.76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48.48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spacing w:line="578"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寺管会无政府性基金预算财政拨款支出。</w:t>
      </w:r>
    </w:p>
    <w:p>
      <w:pPr>
        <w:spacing w:line="578"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寺管会无国有资本经营预算财政拨款支出。</w:t>
      </w:r>
    </w:p>
    <w:p>
      <w:pPr>
        <w:spacing w:line="578" w:lineRule="exact"/>
        <w:ind w:firstLine="640" w:firstLineChars="200"/>
        <w:rPr>
          <w:rFonts w:ascii="黑体" w:hAnsi="黑体" w:eastAsia="黑体" w:cs="黑体"/>
          <w:bCs/>
          <w:sz w:val="32"/>
          <w:szCs w:val="32"/>
        </w:rPr>
      </w:pPr>
      <w:r>
        <w:rPr>
          <w:rFonts w:hint="eastAsia" w:ascii="黑体" w:hAnsi="黑体" w:eastAsia="黑体" w:cs="黑体"/>
          <w:bCs/>
          <w:sz w:val="32"/>
          <w:szCs w:val="32"/>
        </w:rPr>
        <w:t>九、财政拨款“三公”经费支出决算情况说明</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（一）财政拨款“三公”经费支出决算总体情况说明</w:t>
      </w:r>
    </w:p>
    <w:p>
      <w:pPr>
        <w:spacing w:line="578" w:lineRule="exact"/>
        <w:ind w:firstLine="640" w:firstLineChars="200"/>
        <w:rPr>
          <w:rFonts w:hint="eastAsia" w:ascii="仿宋_GB2312" w:hAnsi="仿宋_GB2312" w:eastAsia="仿宋_GB2312" w:cs="仿宋_GB2312"/>
          <w:kern w:val="0"/>
          <w:sz w:val="32"/>
          <w:szCs w:val="32"/>
          <w:lang w:eastAsia="zh-CN" w:bidi="bo-CN"/>
        </w:rPr>
      </w:pPr>
      <w:r>
        <w:rPr>
          <w:rFonts w:hint="eastAsia" w:ascii="仿宋_GB2312" w:hAnsi="仿宋_GB2312" w:eastAsia="仿宋_GB2312" w:cs="仿宋_GB2312"/>
          <w:kern w:val="0"/>
          <w:sz w:val="32"/>
          <w:szCs w:val="32"/>
          <w:lang w:bidi="bo-CN"/>
        </w:rPr>
        <w:t>2024年度财政拨款“三公”经费支出预算为1.24万元，支出决算为1.24万元，完成预算的100%</w:t>
      </w:r>
      <w:r>
        <w:rPr>
          <w:rFonts w:hint="eastAsia" w:ascii="仿宋_GB2312" w:hAnsi="仿宋_GB2312" w:eastAsia="仿宋_GB2312" w:cs="仿宋_GB2312"/>
          <w:kern w:val="0"/>
          <w:sz w:val="32"/>
          <w:szCs w:val="32"/>
          <w:lang w:eastAsia="zh-CN" w:bidi="bo-CN"/>
        </w:rPr>
        <w:t>。</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（二）财政拨款“三公”经费支出决算具体情况说明</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2024年度财政拨款“三公”经费支出决算中，因公出国（境）费支出决算0.00万元，占0%；公务用车购置及运行维护费支出决算1.24万元，占100%；公务接待费支出决算0.00万元，占0%。具体情况如下：</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1.因公出国（境）费支出0.00万元。全年安排因公出国（境）团组0个，因公出国（境）0人次。</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2.公务用车购置及运行维护费支出1.24万元。其中：公务用车购置支出0.00万元，全年购置公务用车0辆，年末公务用车保有量1辆。公务用车运行维护费支出1.24万元，主要用于车辆燃油费、车辆维修费。</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3.公务接待费支出0.00万元。</w:t>
      </w:r>
      <w:bookmarkStart w:id="101" w:name="_GoBack"/>
      <w:bookmarkEnd w:id="101"/>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 xml:space="preserve">本部门共有车辆1辆，其中，副部（省）级及以上领导用车0辆、主要负责人用车0辆、机要通信用车0辆、应急保障用车0辆、执法执勤用车0辆、特种专业技术用车0辆、离退休干部服务用车0辆、其他用车1辆，其他用车主要为日常公务用车。     </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单价100万元（含）以上设备（不含车辆）0台（套）。</w:t>
      </w:r>
    </w:p>
    <w:p>
      <w:pPr>
        <w:spacing w:line="578" w:lineRule="exact"/>
        <w:ind w:firstLine="640" w:firstLineChars="200"/>
        <w:rPr>
          <w:rFonts w:hint="eastAsia" w:ascii="黑体" w:hAnsi="黑体" w:eastAsia="黑体" w:cs="黑体"/>
          <w:bCs/>
          <w:sz w:val="32"/>
          <w:szCs w:val="32"/>
        </w:rPr>
      </w:pPr>
      <w:bookmarkStart w:id="95" w:name="_Toc8874_WPSOffice_Level1"/>
      <w:bookmarkStart w:id="96" w:name="_Toc17580_WPSOffice_Level1"/>
      <w:bookmarkStart w:id="97" w:name="_Toc8808_WPSOffice_Level1"/>
      <w:bookmarkStart w:id="98" w:name="_Toc4398_WPSOffice_Level1"/>
      <w:bookmarkStart w:id="99" w:name="_Toc15425_WPSOffice_Level1"/>
      <w:bookmarkStart w:id="100" w:name="_Toc11039_WPSOffice_Level1"/>
      <w:r>
        <w:rPr>
          <w:rFonts w:hint="eastAsia" w:ascii="黑体" w:hAnsi="黑体" w:eastAsia="黑体" w:cs="黑体"/>
          <w:bCs/>
          <w:sz w:val="32"/>
          <w:szCs w:val="32"/>
        </w:rPr>
        <w:t>十、预算绩效情况说明</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无</w:t>
      </w:r>
    </w:p>
    <w:p>
      <w:pPr>
        <w:spacing w:line="578"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十一、其他重要情况说明</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无</w:t>
      </w:r>
    </w:p>
    <w:p>
      <w:pPr>
        <w:spacing w:line="578" w:lineRule="exact"/>
        <w:ind w:firstLine="640" w:firstLineChars="200"/>
        <w:rPr>
          <w:rFonts w:hint="eastAsia" w:ascii="黑体" w:hAnsi="黑体" w:eastAsia="黑体" w:cs="黑体"/>
          <w:bCs/>
          <w:sz w:val="32"/>
          <w:szCs w:val="32"/>
        </w:rPr>
      </w:pPr>
    </w:p>
    <w:p>
      <w:pPr>
        <w:spacing w:line="578" w:lineRule="exact"/>
        <w:jc w:val="center"/>
        <w:rPr>
          <w:rFonts w:ascii="仿宋" w:hAnsi="仿宋" w:eastAsia="仿宋" w:cs="Arial Unicode MS"/>
          <w:kern w:val="0"/>
          <w:sz w:val="32"/>
          <w:szCs w:val="32"/>
          <w:lang w:bidi="bo-CN"/>
        </w:rPr>
      </w:pPr>
    </w:p>
    <w:p>
      <w:pPr>
        <w:spacing w:line="578" w:lineRule="exact"/>
        <w:jc w:val="center"/>
        <w:rPr>
          <w:rFonts w:ascii="仿宋" w:hAnsi="仿宋" w:eastAsia="仿宋" w:cs="Arial Unicode MS"/>
          <w:kern w:val="0"/>
          <w:sz w:val="32"/>
          <w:szCs w:val="32"/>
          <w:lang w:bidi="bo-CN"/>
        </w:rPr>
      </w:pPr>
    </w:p>
    <w:p>
      <w:pPr>
        <w:spacing w:line="578" w:lineRule="exact"/>
        <w:jc w:val="center"/>
        <w:rPr>
          <w:rFonts w:ascii="仿宋" w:hAnsi="仿宋" w:eastAsia="仿宋" w:cs="Arial Unicode MS"/>
          <w:kern w:val="0"/>
          <w:sz w:val="32"/>
          <w:szCs w:val="32"/>
          <w:lang w:bidi="bo-CN"/>
        </w:rPr>
      </w:pPr>
    </w:p>
    <w:p>
      <w:pPr>
        <w:spacing w:line="578" w:lineRule="exact"/>
        <w:jc w:val="center"/>
        <w:rPr>
          <w:rFonts w:ascii="仿宋" w:hAnsi="仿宋" w:eastAsia="仿宋" w:cs="Arial Unicode MS"/>
          <w:kern w:val="0"/>
          <w:sz w:val="32"/>
          <w:szCs w:val="32"/>
          <w:lang w:bidi="bo-CN"/>
        </w:rPr>
      </w:pPr>
    </w:p>
    <w:p>
      <w:pPr>
        <w:spacing w:line="578" w:lineRule="exact"/>
        <w:rPr>
          <w:rFonts w:ascii="仿宋" w:hAnsi="仿宋" w:eastAsia="仿宋" w:cs="Arial Unicode MS"/>
          <w:kern w:val="0"/>
          <w:sz w:val="32"/>
          <w:szCs w:val="32"/>
          <w:lang w:bidi="bo-CN"/>
        </w:rPr>
      </w:pPr>
    </w:p>
    <w:p>
      <w:pPr>
        <w:spacing w:line="578" w:lineRule="exact"/>
        <w:jc w:val="center"/>
        <w:rPr>
          <w:rFonts w:hint="eastAsia" w:ascii="黑体" w:hAnsi="ˎ̥" w:eastAsia="黑体"/>
          <w:sz w:val="32"/>
          <w:szCs w:val="32"/>
        </w:rPr>
      </w:pPr>
      <w:r>
        <w:rPr>
          <w:rFonts w:hint="eastAsia" w:ascii="黑体" w:hAnsi="ˎ̥" w:eastAsia="黑体"/>
          <w:sz w:val="32"/>
          <w:szCs w:val="32"/>
        </w:rPr>
        <w:t>第四部分  名词解释</w:t>
      </w:r>
      <w:bookmarkEnd w:id="95"/>
      <w:bookmarkEnd w:id="96"/>
      <w:bookmarkEnd w:id="97"/>
      <w:bookmarkEnd w:id="98"/>
      <w:bookmarkEnd w:id="99"/>
      <w:bookmarkEnd w:id="100"/>
    </w:p>
    <w:p>
      <w:pPr>
        <w:spacing w:line="578" w:lineRule="exact"/>
        <w:jc w:val="center"/>
        <w:rPr>
          <w:rFonts w:hint="eastAsia" w:ascii="仿宋_GB2312" w:hAnsi="仿宋_GB2312" w:eastAsia="仿宋_GB2312" w:cs="仿宋_GB2312"/>
          <w:kern w:val="0"/>
          <w:sz w:val="32"/>
          <w:szCs w:val="32"/>
          <w:lang w:bidi="bo-CN"/>
        </w:rPr>
      </w:pPr>
    </w:p>
    <w:p>
      <w:pPr>
        <w:numPr>
          <w:ilvl w:val="0"/>
          <w:numId w:val="2"/>
        </w:num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财政拨款收入：指同级政府财政部门当年拨付的各类财政拨款。</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二、上级补助收入：指事业单位从主管部门和上级单位取得的非财政补助收入。</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三、事业收入：指事业单位开展专业业务活动及辅助活动取得的收入。</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四、经营收入：指事业单位在专业业务活动及其辅助活动之外开展非独立核算经营活动取得的收入。</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五、附属单位上缴收入：指事业单位取得附属独立核算单位根据有关规定上缴的收入。</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六、其他收入：指除上述“财政拨款收入”“事业收入”“上级补助收入”“经营收入”“附属单位上缴收入”等以外的收入。</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七、使用非财政拨款结余：指事业单位在当年的“财政拨款收入”“事业收入”“经营收入”“其他收入”等不足以安排当年支出的情况下，使用非同级财政拨款结余资金弥补本年度收支缺口。</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八、年初结转和结余：指以前年度尚未完成、结转到本年按有关规定继续使用的资金，或项目已完成等产生的结余资金。</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九、结余分配：指事业单位缴纳企业所得税以及从非财政拨款结余或经营结余中提取各类结余的情况。</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十、年末结转和结余：指本年度或以前年度预算安排、因客观条件发生变化无法按原计划实施，需要延迟到以后年度按有关规定继续使用的资金（不包括事业单位非财政拨款结余和专用结余）。</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十一、基本支出：指为保障机构正常运转、完成日常工作任务而发生的人员支出和公用支出。</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十二、项目支出：指在基本支出之外为完成特定行政任务和事业发展目标所发生的支出。</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十三、经营支出：指事业单位在专业业务活动及其辅助活动之外开展非独立核算经营活动发生的支出。</w:t>
      </w:r>
    </w:p>
    <w:p>
      <w:pPr>
        <w:spacing w:line="578" w:lineRule="exact"/>
        <w:ind w:firstLine="640" w:firstLineChars="200"/>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spacing w:line="578" w:lineRule="exact"/>
        <w:ind w:firstLine="645"/>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spacing w:line="578" w:lineRule="exact"/>
        <w:rPr>
          <w:rFonts w:ascii="仿宋" w:hAnsi="仿宋" w:eastAsia="仿宋" w:cs="Arial Unicode MS"/>
          <w:kern w:val="0"/>
          <w:sz w:val="32"/>
          <w:szCs w:val="32"/>
          <w:lang w:bidi="bo-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00"/>
    <w:family w:val="roman"/>
    <w:pitch w:val="default"/>
    <w:sig w:usb0="00000000" w:usb1="00000000" w:usb2="00000000" w:usb3="00000000" w:csb0="0000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t>20</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VlZThlZDk5ZTQ4MTFjNGY3MjIxNTdiOWMzZmQwMWMifQ=="/>
  </w:docVars>
  <w:rsids>
    <w:rsidRoot w:val="A7F73C99"/>
    <w:rsid w:val="00051F93"/>
    <w:rsid w:val="00062FA5"/>
    <w:rsid w:val="00063A3D"/>
    <w:rsid w:val="00064A91"/>
    <w:rsid w:val="000718C4"/>
    <w:rsid w:val="000779B0"/>
    <w:rsid w:val="0009050D"/>
    <w:rsid w:val="000A473D"/>
    <w:rsid w:val="00156841"/>
    <w:rsid w:val="001A4355"/>
    <w:rsid w:val="001E4E23"/>
    <w:rsid w:val="001E510D"/>
    <w:rsid w:val="001F28C1"/>
    <w:rsid w:val="001F4EC0"/>
    <w:rsid w:val="00200A54"/>
    <w:rsid w:val="00202FF2"/>
    <w:rsid w:val="00213789"/>
    <w:rsid w:val="002255B1"/>
    <w:rsid w:val="002A6E07"/>
    <w:rsid w:val="002B4711"/>
    <w:rsid w:val="002D0B57"/>
    <w:rsid w:val="0034456B"/>
    <w:rsid w:val="00372A1C"/>
    <w:rsid w:val="003D2F77"/>
    <w:rsid w:val="004500FE"/>
    <w:rsid w:val="004506FE"/>
    <w:rsid w:val="00451B97"/>
    <w:rsid w:val="00485C52"/>
    <w:rsid w:val="004B7F87"/>
    <w:rsid w:val="004C755C"/>
    <w:rsid w:val="004D515A"/>
    <w:rsid w:val="004D5572"/>
    <w:rsid w:val="0050273F"/>
    <w:rsid w:val="00513897"/>
    <w:rsid w:val="00530C81"/>
    <w:rsid w:val="005532FA"/>
    <w:rsid w:val="00574398"/>
    <w:rsid w:val="00575BDC"/>
    <w:rsid w:val="0057641C"/>
    <w:rsid w:val="005B6399"/>
    <w:rsid w:val="005C43A2"/>
    <w:rsid w:val="005E64FB"/>
    <w:rsid w:val="005F5987"/>
    <w:rsid w:val="00602EED"/>
    <w:rsid w:val="00624D8F"/>
    <w:rsid w:val="006430F8"/>
    <w:rsid w:val="0067118E"/>
    <w:rsid w:val="006B0D64"/>
    <w:rsid w:val="006D5C72"/>
    <w:rsid w:val="00731FC7"/>
    <w:rsid w:val="00740E64"/>
    <w:rsid w:val="00754F6E"/>
    <w:rsid w:val="0078395C"/>
    <w:rsid w:val="007A4101"/>
    <w:rsid w:val="007D1181"/>
    <w:rsid w:val="007D1B54"/>
    <w:rsid w:val="008150BD"/>
    <w:rsid w:val="008232A9"/>
    <w:rsid w:val="00876C38"/>
    <w:rsid w:val="00896ADB"/>
    <w:rsid w:val="008C41E0"/>
    <w:rsid w:val="0093135A"/>
    <w:rsid w:val="009A2744"/>
    <w:rsid w:val="009D794F"/>
    <w:rsid w:val="009E0C61"/>
    <w:rsid w:val="009E1BC8"/>
    <w:rsid w:val="009F1571"/>
    <w:rsid w:val="00A063A7"/>
    <w:rsid w:val="00A355E8"/>
    <w:rsid w:val="00A5254A"/>
    <w:rsid w:val="00A54A37"/>
    <w:rsid w:val="00A70448"/>
    <w:rsid w:val="00AA19F3"/>
    <w:rsid w:val="00AC28EE"/>
    <w:rsid w:val="00AC3F0E"/>
    <w:rsid w:val="00B36E61"/>
    <w:rsid w:val="00B409FF"/>
    <w:rsid w:val="00B4133E"/>
    <w:rsid w:val="00B54DE8"/>
    <w:rsid w:val="00B63E9E"/>
    <w:rsid w:val="00BC0439"/>
    <w:rsid w:val="00C04C21"/>
    <w:rsid w:val="00C06CDD"/>
    <w:rsid w:val="00C34764"/>
    <w:rsid w:val="00C35BA6"/>
    <w:rsid w:val="00C50835"/>
    <w:rsid w:val="00C7436A"/>
    <w:rsid w:val="00CA0F14"/>
    <w:rsid w:val="00CA536B"/>
    <w:rsid w:val="00CB0D1E"/>
    <w:rsid w:val="00CD6E49"/>
    <w:rsid w:val="00CD794A"/>
    <w:rsid w:val="00DB612B"/>
    <w:rsid w:val="00DC2A37"/>
    <w:rsid w:val="00DD1637"/>
    <w:rsid w:val="00E07782"/>
    <w:rsid w:val="00E70EA3"/>
    <w:rsid w:val="00E974FD"/>
    <w:rsid w:val="00ED21C8"/>
    <w:rsid w:val="00F0336A"/>
    <w:rsid w:val="00F043CE"/>
    <w:rsid w:val="00F06DA9"/>
    <w:rsid w:val="00F103D6"/>
    <w:rsid w:val="00F25220"/>
    <w:rsid w:val="00F760A9"/>
    <w:rsid w:val="00F87D92"/>
    <w:rsid w:val="00FA13FF"/>
    <w:rsid w:val="00FA2884"/>
    <w:rsid w:val="00FA5183"/>
    <w:rsid w:val="00FB0A52"/>
    <w:rsid w:val="00FC03DC"/>
    <w:rsid w:val="00FC40D0"/>
    <w:rsid w:val="00FC5708"/>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504510C"/>
    <w:rsid w:val="687436E1"/>
    <w:rsid w:val="6DA45C50"/>
    <w:rsid w:val="6E9A7825"/>
    <w:rsid w:val="6F670F9B"/>
    <w:rsid w:val="737450E0"/>
    <w:rsid w:val="74054476"/>
    <w:rsid w:val="742F38C4"/>
    <w:rsid w:val="74AB66DC"/>
    <w:rsid w:val="74C4154C"/>
    <w:rsid w:val="75956FFF"/>
    <w:rsid w:val="77AA2D01"/>
    <w:rsid w:val="7CDE1DBD"/>
    <w:rsid w:val="7D943A85"/>
    <w:rsid w:val="7DB0448C"/>
    <w:rsid w:val="7DBE5618"/>
    <w:rsid w:val="7E5F9AA4"/>
    <w:rsid w:val="7F762829"/>
    <w:rsid w:val="8FFC8888"/>
    <w:rsid w:val="A7F73C99"/>
    <w:rsid w:val="BFFE3BF4"/>
    <w:rsid w:val="DFEBDA37"/>
    <w:rsid w:val="EF6FCA1D"/>
    <w:rsid w:val="EFFF57D6"/>
    <w:rsid w:val="FD33A2D0"/>
    <w:rsid w:val="FF7FA20F"/>
    <w:rsid w:val="FFFE81A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Arial Unicode MS"/>
      <w:kern w:val="0"/>
      <w:sz w:val="24"/>
      <w:lang w:bidi="bo-CN"/>
    </w:rPr>
  </w:style>
  <w:style w:type="paragraph" w:styleId="7">
    <w:name w:val="annotation subject"/>
    <w:basedOn w:val="2"/>
    <w:next w:val="2"/>
    <w:link w:val="15"/>
    <w:qFormat/>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Char"/>
    <w:link w:val="2"/>
    <w:qFormat/>
    <w:uiPriority w:val="0"/>
    <w:rPr>
      <w:kern w:val="2"/>
      <w:sz w:val="21"/>
      <w:szCs w:val="24"/>
    </w:rPr>
  </w:style>
  <w:style w:type="character" w:customStyle="1" w:styleId="13">
    <w:name w:val="批注框文本 Char"/>
    <w:link w:val="3"/>
    <w:qFormat/>
    <w:uiPriority w:val="0"/>
    <w:rPr>
      <w:kern w:val="2"/>
      <w:sz w:val="18"/>
      <w:szCs w:val="18"/>
    </w:rPr>
  </w:style>
  <w:style w:type="character" w:customStyle="1" w:styleId="14">
    <w:name w:val="页眉 Char"/>
    <w:link w:val="5"/>
    <w:qFormat/>
    <w:uiPriority w:val="0"/>
    <w:rPr>
      <w:kern w:val="2"/>
      <w:sz w:val="18"/>
      <w:szCs w:val="18"/>
    </w:rPr>
  </w:style>
  <w:style w:type="character" w:customStyle="1" w:styleId="15">
    <w:name w:val="批注主题 Char"/>
    <w:link w:val="7"/>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2260</Words>
  <Characters>12888</Characters>
  <Lines>107</Lines>
  <Paragraphs>30</Paragraphs>
  <TotalTime>13</TotalTime>
  <ScaleCrop>false</ScaleCrop>
  <LinksUpToDate>false</LinksUpToDate>
  <CharactersWithSpaces>15118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2025-10-17T00:29:00Z</dcterms:created>
  <dc:creator>uos</dc:creator>
  <cp:lastModifiedBy>user</cp:lastModifiedBy>
  <cp:lastPrinted>2025-10-25T00:22:00Z</cp:lastPrinted>
  <dcterms:modified xsi:type="dcterms:W3CDTF">2025-11-03T19:22:41Z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